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4CAF9" w14:textId="602F5F33" w:rsidR="000A240E" w:rsidRDefault="000A240E" w:rsidP="009720A6">
      <w:pPr>
        <w:shd w:val="clear" w:color="auto" w:fill="FFFFFF"/>
        <w:jc w:val="both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</w:p>
    <w:p w14:paraId="09E17A98" w14:textId="77777777" w:rsidR="000A240E" w:rsidRDefault="000A240E">
      <w:pPr>
        <w:shd w:val="clear" w:color="auto" w:fill="FFFFFF"/>
        <w:ind w:left="426"/>
        <w:jc w:val="both"/>
        <w:rPr>
          <w:rFonts w:ascii="Arial" w:eastAsia="Arial" w:hAnsi="Arial" w:cs="Arial"/>
          <w:b/>
          <w:sz w:val="28"/>
          <w:szCs w:val="28"/>
        </w:rPr>
      </w:pPr>
    </w:p>
    <w:p w14:paraId="00000058" w14:textId="7A7587A3" w:rsidR="00F50B8A" w:rsidRPr="000A240E" w:rsidRDefault="00F6211B" w:rsidP="000A240E">
      <w:pPr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ANEXO</w:t>
      </w:r>
    </w:p>
    <w:p w14:paraId="00000059" w14:textId="77777777" w:rsidR="00F50B8A" w:rsidRPr="000A240E" w:rsidRDefault="00F50B8A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35A05439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Diplomado en Gestión de Artes Visuales</w:t>
      </w:r>
    </w:p>
    <w:p w14:paraId="4323BA5A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3CC4B6F8" w14:textId="4543FA39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El Diplomado en Gestión de Artes Visuales tiene como fin</w:t>
      </w:r>
      <w:r>
        <w:rPr>
          <w:rFonts w:ascii="Arial" w:eastAsia="Arial" w:hAnsi="Arial" w:cs="Arial"/>
          <w:color w:val="000000"/>
          <w:highlight w:val="white"/>
        </w:rPr>
        <w:t xml:space="preserve">alidad contribuir al desarrollo </w:t>
      </w:r>
      <w:r w:rsidRPr="000A240E">
        <w:rPr>
          <w:rFonts w:ascii="Arial" w:eastAsia="Arial" w:hAnsi="Arial" w:cs="Arial"/>
          <w:color w:val="000000"/>
          <w:highlight w:val="white"/>
        </w:rPr>
        <w:t>profesional de artistas, productores, curadores y gestores culturales mediant</w:t>
      </w:r>
      <w:r>
        <w:rPr>
          <w:rFonts w:ascii="Arial" w:eastAsia="Arial" w:hAnsi="Arial" w:cs="Arial"/>
          <w:color w:val="000000"/>
          <w:highlight w:val="white"/>
        </w:rPr>
        <w:t xml:space="preserve">e el fortalecimiento </w:t>
      </w:r>
      <w:r w:rsidRPr="000A240E">
        <w:rPr>
          <w:rFonts w:ascii="Arial" w:eastAsia="Arial" w:hAnsi="Arial" w:cs="Arial"/>
          <w:color w:val="000000"/>
          <w:highlight w:val="white"/>
        </w:rPr>
        <w:t>de conocimientos conceptuales, metodológicos y operati</w:t>
      </w:r>
      <w:r>
        <w:rPr>
          <w:rFonts w:ascii="Arial" w:eastAsia="Arial" w:hAnsi="Arial" w:cs="Arial"/>
          <w:color w:val="000000"/>
          <w:highlight w:val="white"/>
        </w:rPr>
        <w:t xml:space="preserve">vos para la gestión integral de </w:t>
      </w:r>
      <w:r w:rsidRPr="000A240E">
        <w:rPr>
          <w:rFonts w:ascii="Arial" w:eastAsia="Arial" w:hAnsi="Arial" w:cs="Arial"/>
          <w:color w:val="000000"/>
          <w:highlight w:val="white"/>
        </w:rPr>
        <w:t>proyectos de a</w:t>
      </w:r>
      <w:r>
        <w:rPr>
          <w:rFonts w:ascii="Arial" w:eastAsia="Arial" w:hAnsi="Arial" w:cs="Arial"/>
          <w:color w:val="000000"/>
          <w:highlight w:val="white"/>
        </w:rPr>
        <w:t xml:space="preserve">rtes visuales. Esta descripción </w:t>
      </w:r>
      <w:r w:rsidRPr="000A240E">
        <w:rPr>
          <w:rFonts w:ascii="Arial" w:eastAsia="Arial" w:hAnsi="Arial" w:cs="Arial"/>
          <w:color w:val="000000"/>
          <w:highlight w:val="white"/>
        </w:rPr>
        <w:t>se basa en la in</w:t>
      </w:r>
      <w:r>
        <w:rPr>
          <w:rFonts w:ascii="Arial" w:eastAsia="Arial" w:hAnsi="Arial" w:cs="Arial"/>
          <w:color w:val="000000"/>
          <w:highlight w:val="white"/>
        </w:rPr>
        <w:t xml:space="preserve">vitación y programa previamente </w:t>
      </w:r>
      <w:r w:rsidRPr="000A240E">
        <w:rPr>
          <w:rFonts w:ascii="Arial" w:eastAsia="Arial" w:hAnsi="Arial" w:cs="Arial"/>
          <w:color w:val="000000"/>
          <w:highlight w:val="white"/>
        </w:rPr>
        <w:t>impartidos.</w:t>
      </w:r>
    </w:p>
    <w:p w14:paraId="5BE3271C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61AC0F59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Objetivo general</w:t>
      </w:r>
    </w:p>
    <w:p w14:paraId="331BEAFC" w14:textId="15168D1B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Que las y los participantes identifiquen los procesos de la gestió</w:t>
      </w:r>
      <w:r>
        <w:rPr>
          <w:rFonts w:ascii="Arial" w:eastAsia="Arial" w:hAnsi="Arial" w:cs="Arial"/>
          <w:color w:val="000000"/>
          <w:highlight w:val="white"/>
        </w:rPr>
        <w:t xml:space="preserve">n cultural mediante la revisión </w:t>
      </w:r>
      <w:r w:rsidRPr="000A240E">
        <w:rPr>
          <w:rFonts w:ascii="Arial" w:eastAsia="Arial" w:hAnsi="Arial" w:cs="Arial"/>
          <w:color w:val="000000"/>
          <w:highlight w:val="white"/>
        </w:rPr>
        <w:t>de sus proyectos, desarrollando estrategias para gestionar, or</w:t>
      </w:r>
      <w:r>
        <w:rPr>
          <w:rFonts w:ascii="Arial" w:eastAsia="Arial" w:hAnsi="Arial" w:cs="Arial"/>
          <w:color w:val="000000"/>
          <w:highlight w:val="white"/>
        </w:rPr>
        <w:t xml:space="preserve">ganizar y obtener recursos para </w:t>
      </w:r>
      <w:r w:rsidRPr="000A240E">
        <w:rPr>
          <w:rFonts w:ascii="Arial" w:eastAsia="Arial" w:hAnsi="Arial" w:cs="Arial"/>
          <w:color w:val="000000"/>
          <w:highlight w:val="white"/>
        </w:rPr>
        <w:t>proyectos artísticos. Al fin</w:t>
      </w:r>
      <w:r>
        <w:rPr>
          <w:rFonts w:ascii="Arial" w:eastAsia="Arial" w:hAnsi="Arial" w:cs="Arial"/>
          <w:color w:val="000000"/>
          <w:highlight w:val="white"/>
        </w:rPr>
        <w:t xml:space="preserve">alizar, presentarán un proyecto </w:t>
      </w:r>
      <w:r w:rsidRPr="000A240E">
        <w:rPr>
          <w:rFonts w:ascii="Arial" w:eastAsia="Arial" w:hAnsi="Arial" w:cs="Arial"/>
          <w:color w:val="000000"/>
          <w:highlight w:val="white"/>
        </w:rPr>
        <w:t>cultural viable para su realización.</w:t>
      </w:r>
    </w:p>
    <w:p w14:paraId="1D300300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5112884F" w14:textId="77777777" w:rsidR="000A240E" w:rsidRPr="000A240E" w:rsidRDefault="000A240E" w:rsidP="000A240E">
      <w:pPr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Datos generales</w:t>
      </w:r>
    </w:p>
    <w:p w14:paraId="4F041278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6A456247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 xml:space="preserve">Modalidad </w:t>
      </w:r>
      <w:r w:rsidRPr="000A240E">
        <w:rPr>
          <w:rFonts w:ascii="Arial" w:eastAsia="Arial" w:hAnsi="Arial" w:cs="Arial"/>
          <w:color w:val="000000"/>
          <w:highlight w:val="white"/>
        </w:rPr>
        <w:t>Presencial</w:t>
      </w:r>
    </w:p>
    <w:p w14:paraId="02D83216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Duración</w:t>
      </w:r>
      <w:r w:rsidRPr="000A240E">
        <w:rPr>
          <w:rFonts w:ascii="Arial" w:eastAsia="Arial" w:hAnsi="Arial" w:cs="Arial"/>
          <w:color w:val="000000"/>
          <w:highlight w:val="white"/>
        </w:rPr>
        <w:t xml:space="preserve"> 48 horas</w:t>
      </w:r>
    </w:p>
    <w:p w14:paraId="3B0625DF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Sesiones</w:t>
      </w:r>
      <w:r w:rsidRPr="000A240E">
        <w:rPr>
          <w:rFonts w:ascii="Arial" w:eastAsia="Arial" w:hAnsi="Arial" w:cs="Arial"/>
          <w:color w:val="000000"/>
          <w:highlight w:val="white"/>
        </w:rPr>
        <w:t xml:space="preserve"> 12 sesiones de 4 horas</w:t>
      </w:r>
    </w:p>
    <w:p w14:paraId="75E7B879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Horario</w:t>
      </w:r>
      <w:r w:rsidRPr="000A240E">
        <w:rPr>
          <w:rFonts w:ascii="Arial" w:eastAsia="Arial" w:hAnsi="Arial" w:cs="Arial"/>
          <w:color w:val="000000"/>
          <w:highlight w:val="white"/>
        </w:rPr>
        <w:t xml:space="preserve"> 9:00 a 13:00 horas</w:t>
      </w:r>
    </w:p>
    <w:p w14:paraId="5311BA57" w14:textId="77777777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Fechas</w:t>
      </w:r>
      <w:r w:rsidRPr="000A240E">
        <w:rPr>
          <w:rFonts w:ascii="Arial" w:eastAsia="Arial" w:hAnsi="Arial" w:cs="Arial"/>
          <w:color w:val="000000"/>
          <w:highlight w:val="white"/>
        </w:rPr>
        <w:t xml:space="preserve"> 12, 19, 26 d</w:t>
      </w:r>
      <w:r>
        <w:rPr>
          <w:rFonts w:ascii="Arial" w:eastAsia="Arial" w:hAnsi="Arial" w:cs="Arial"/>
          <w:color w:val="000000"/>
          <w:highlight w:val="white"/>
        </w:rPr>
        <w:t xml:space="preserve">e septiembre; </w:t>
      </w:r>
    </w:p>
    <w:p w14:paraId="58DAAC14" w14:textId="58085780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10, 17, 24, 31 de </w:t>
      </w:r>
      <w:r w:rsidRPr="000A240E">
        <w:rPr>
          <w:rFonts w:ascii="Arial" w:eastAsia="Arial" w:hAnsi="Arial" w:cs="Arial"/>
          <w:color w:val="000000"/>
          <w:highlight w:val="white"/>
        </w:rPr>
        <w:t xml:space="preserve">octubre; </w:t>
      </w:r>
    </w:p>
    <w:p w14:paraId="76540C63" w14:textId="7ADBAF22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7</w:t>
      </w:r>
      <w:r>
        <w:rPr>
          <w:rFonts w:ascii="Arial" w:eastAsia="Arial" w:hAnsi="Arial" w:cs="Arial"/>
          <w:color w:val="000000"/>
          <w:highlight w:val="white"/>
        </w:rPr>
        <w:t xml:space="preserve">, 14, 21, 28 de noviembre; 5 de </w:t>
      </w:r>
      <w:r w:rsidRPr="000A240E">
        <w:rPr>
          <w:rFonts w:ascii="Arial" w:eastAsia="Arial" w:hAnsi="Arial" w:cs="Arial"/>
          <w:color w:val="000000"/>
          <w:highlight w:val="white"/>
        </w:rPr>
        <w:t>diciembre</w:t>
      </w:r>
    </w:p>
    <w:p w14:paraId="116C1BD8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7FB98F37" w14:textId="1B5DBCA0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Dirigido a: Artistas, pr</w:t>
      </w:r>
      <w:r>
        <w:rPr>
          <w:rFonts w:ascii="Arial" w:eastAsia="Arial" w:hAnsi="Arial" w:cs="Arial"/>
          <w:color w:val="000000"/>
          <w:highlight w:val="white"/>
        </w:rPr>
        <w:t xml:space="preserve">oductores, curadores y gestores </w:t>
      </w:r>
      <w:r w:rsidRPr="000A240E">
        <w:rPr>
          <w:rFonts w:ascii="Arial" w:eastAsia="Arial" w:hAnsi="Arial" w:cs="Arial"/>
          <w:color w:val="000000"/>
          <w:highlight w:val="white"/>
        </w:rPr>
        <w:t>culturales</w:t>
      </w:r>
    </w:p>
    <w:p w14:paraId="0CB82C04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107D52D3" w14:textId="65735056" w:rsidR="000A240E" w:rsidRPr="000A240E" w:rsidRDefault="000A240E" w:rsidP="000A240E">
      <w:pPr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TEMARIO</w:t>
      </w:r>
    </w:p>
    <w:p w14:paraId="4535305F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32EB1F4F" w14:textId="78949336" w:rsidR="000A240E" w:rsidRPr="000A240E" w:rsidRDefault="000A240E" w:rsidP="000A240E">
      <w:pPr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Módulo 1. ¿Qué es un proyecto cultural? Objetivos, público beneficiado y retribuciones institucionales.</w:t>
      </w:r>
    </w:p>
    <w:p w14:paraId="011CF305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12 sep. Introducción general</w:t>
      </w:r>
    </w:p>
    <w:p w14:paraId="7765C0FD" w14:textId="153BCA3C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19 sep. Bases de un proyecto cultural: estructura formal, ob</w:t>
      </w:r>
      <w:r>
        <w:rPr>
          <w:rFonts w:ascii="Arial" w:eastAsia="Arial" w:hAnsi="Arial" w:cs="Arial"/>
          <w:color w:val="000000"/>
          <w:highlight w:val="white"/>
        </w:rPr>
        <w:t xml:space="preserve">jetivos, administración y bases </w:t>
      </w:r>
      <w:r w:rsidRPr="000A240E">
        <w:rPr>
          <w:rFonts w:ascii="Arial" w:eastAsia="Arial" w:hAnsi="Arial" w:cs="Arial"/>
          <w:color w:val="000000"/>
          <w:highlight w:val="white"/>
        </w:rPr>
        <w:t>económicas.</w:t>
      </w:r>
    </w:p>
    <w:p w14:paraId="15A9A758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26 sep. Estudio de casos.</w:t>
      </w:r>
    </w:p>
    <w:p w14:paraId="28859125" w14:textId="2D2CEE44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10 oct. Retribuciones, cartas y formalidades operativas.</w:t>
      </w:r>
    </w:p>
    <w:p w14:paraId="2FBD6592" w14:textId="77777777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5B036B01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271DF86F" w14:textId="77777777" w:rsidR="000A240E" w:rsidRPr="000A240E" w:rsidRDefault="000A240E" w:rsidP="000A240E">
      <w:pPr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Módulo 2. Políticas Culturales en México y Latinoamérica</w:t>
      </w:r>
    </w:p>
    <w:p w14:paraId="43D07272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17 oct. ¿Qué es una política cultural?</w:t>
      </w:r>
    </w:p>
    <w:p w14:paraId="2EC35B21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24 oct. Aplicaciones en proyectos de artes visuales.</w:t>
      </w:r>
    </w:p>
    <w:p w14:paraId="6779F52C" w14:textId="61B3CAA3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31 oct. Constru</w:t>
      </w:r>
      <w:r>
        <w:rPr>
          <w:rFonts w:ascii="Arial" w:eastAsia="Arial" w:hAnsi="Arial" w:cs="Arial"/>
          <w:color w:val="000000"/>
          <w:highlight w:val="white"/>
        </w:rPr>
        <w:t>cción de una política cultural.</w:t>
      </w:r>
    </w:p>
    <w:p w14:paraId="4CBF96F0" w14:textId="43CDC981" w:rsid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7 nov. Estudio de casos.</w:t>
      </w:r>
    </w:p>
    <w:p w14:paraId="48B82205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</w:p>
    <w:p w14:paraId="6D0E5BFD" w14:textId="77777777" w:rsidR="000A240E" w:rsidRPr="000A240E" w:rsidRDefault="000A240E" w:rsidP="000A240E">
      <w:pPr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0A240E">
        <w:rPr>
          <w:rFonts w:ascii="Arial" w:eastAsia="Arial" w:hAnsi="Arial" w:cs="Arial"/>
          <w:b/>
          <w:color w:val="000000"/>
          <w:highlight w:val="white"/>
        </w:rPr>
        <w:t>Módulo 3. Convocatorias y Patrocinios</w:t>
      </w:r>
    </w:p>
    <w:p w14:paraId="5AEBDAD7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14 nov. Sustento de convocatorias.</w:t>
      </w:r>
    </w:p>
    <w:p w14:paraId="25375388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21 nov. Patrocinios y formalización de proyectos.</w:t>
      </w:r>
    </w:p>
    <w:p w14:paraId="568C51AF" w14:textId="77777777" w:rsidR="000A240E" w:rsidRPr="000A240E" w:rsidRDefault="000A240E" w:rsidP="000A240E">
      <w:pPr>
        <w:jc w:val="both"/>
        <w:rPr>
          <w:rFonts w:ascii="Arial" w:eastAsia="Arial" w:hAnsi="Arial" w:cs="Arial"/>
          <w:color w:val="000000"/>
          <w:highlight w:val="white"/>
        </w:rPr>
      </w:pPr>
      <w:r w:rsidRPr="000A240E">
        <w:rPr>
          <w:rFonts w:ascii="Arial" w:eastAsia="Arial" w:hAnsi="Arial" w:cs="Arial"/>
          <w:color w:val="000000"/>
          <w:highlight w:val="white"/>
        </w:rPr>
        <w:t>• 28 nov. Gestión cultural como construcción de ciudadanía.</w:t>
      </w:r>
    </w:p>
    <w:p w14:paraId="00000078" w14:textId="60269923" w:rsidR="00F50B8A" w:rsidRPr="000A240E" w:rsidRDefault="000A240E" w:rsidP="000A240E">
      <w:pPr>
        <w:rPr>
          <w:rFonts w:ascii="Arial" w:eastAsia="Arial" w:hAnsi="Arial" w:cs="Arial"/>
          <w:highlight w:val="white"/>
        </w:rPr>
      </w:pPr>
      <w:r w:rsidRPr="000A240E">
        <w:rPr>
          <w:rFonts w:ascii="Arial" w:eastAsia="Arial" w:hAnsi="Arial" w:cs="Arial"/>
          <w:sz w:val="28"/>
          <w:szCs w:val="28"/>
        </w:rPr>
        <w:t>• 5 dic. Presentación de proyectos y clausura.</w:t>
      </w:r>
    </w:p>
    <w:sectPr w:rsidR="00F50B8A" w:rsidRPr="000A240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25CE4"/>
    <w:multiLevelType w:val="multilevel"/>
    <w:tmpl w:val="A9386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8A"/>
    <w:rsid w:val="000A240E"/>
    <w:rsid w:val="005A28D3"/>
    <w:rsid w:val="00860E53"/>
    <w:rsid w:val="009720A6"/>
    <w:rsid w:val="00AF0001"/>
    <w:rsid w:val="00B027DD"/>
    <w:rsid w:val="00C5113A"/>
    <w:rsid w:val="00F50B8A"/>
    <w:rsid w:val="00F6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8AEF0"/>
  <w15:docId w15:val="{B1AA913A-17BB-4923-A352-66B4D32F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0F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D060FE"/>
    <w:pPr>
      <w:ind w:left="720"/>
      <w:contextualSpacing/>
    </w:pPr>
    <w:rPr>
      <w:rFonts w:eastAsiaTheme="minorEastAsia"/>
      <w:sz w:val="20"/>
    </w:rPr>
  </w:style>
  <w:style w:type="character" w:styleId="Textoennegrita">
    <w:name w:val="Strong"/>
    <w:basedOn w:val="Fuentedeprrafopredeter"/>
    <w:uiPriority w:val="22"/>
    <w:qFormat/>
    <w:rsid w:val="00D060FE"/>
    <w:rPr>
      <w:b/>
      <w:bCs/>
    </w:rPr>
  </w:style>
  <w:style w:type="paragraph" w:styleId="NormalWeb">
    <w:name w:val="Normal (Web)"/>
    <w:basedOn w:val="Normal"/>
    <w:uiPriority w:val="99"/>
    <w:unhideWhenUsed/>
    <w:rsid w:val="00D060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D060FE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D060FE"/>
    <w:rPr>
      <w:i/>
      <w:i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CKty3RWVQKVLiqB06hkcMBWmA==">CgMxLjAyCGguZ2pkZ3hzOAByITF6Vlp0ZU5LYmlwaHFQLV9zVUJvY3ZrMzdhRmc5MHZXVg==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LLara</dc:creator>
  <cp:lastModifiedBy>Produccion AV</cp:lastModifiedBy>
  <cp:revision>2</cp:revision>
  <dcterms:created xsi:type="dcterms:W3CDTF">2026-08-11T21:49:00Z</dcterms:created>
  <dcterms:modified xsi:type="dcterms:W3CDTF">2026-08-11T21:49:00Z</dcterms:modified>
</cp:coreProperties>
</file>